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3533" w14:textId="322DA564" w:rsidR="003C6199" w:rsidRPr="004F04A3" w:rsidRDefault="003C6199" w:rsidP="003C6199">
      <w:pPr>
        <w:rPr>
          <w:rFonts w:ascii="Georgia" w:eastAsia="Times New Roman" w:hAnsi="Georgia" w:cs="Calibri"/>
        </w:rPr>
      </w:pPr>
      <w:r w:rsidRPr="004F04A3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EC333" wp14:editId="1CA5ED6B">
                <wp:simplePos x="0" y="0"/>
                <wp:positionH relativeFrom="column">
                  <wp:posOffset>5107940</wp:posOffset>
                </wp:positionH>
                <wp:positionV relativeFrom="paragraph">
                  <wp:posOffset>-197829</wp:posOffset>
                </wp:positionV>
                <wp:extent cx="1247775" cy="714375"/>
                <wp:effectExtent l="0" t="0" r="9525" b="9525"/>
                <wp:wrapNone/>
                <wp:docPr id="28893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EB290" w14:textId="77777777" w:rsidR="003C6199" w:rsidRPr="003C6199" w:rsidRDefault="003C6199" w:rsidP="003C6199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3C619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C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2pt;margin-top:-15.6pt;width:98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" stroked="f">
                <v:textbox>
                  <w:txbxContent>
                    <w:p w14:paraId="769EB290" w14:textId="77777777" w:rsidR="003C6199" w:rsidRPr="003C6199" w:rsidRDefault="003C6199" w:rsidP="003C6199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C6199">
                        <w:rPr>
                          <w:rFonts w:ascii="Georgia" w:hAnsi="Georgia"/>
                          <w:sz w:val="28"/>
                          <w:szCs w:val="28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  <w:r w:rsidRPr="004F04A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2C19" wp14:editId="273B7E3D">
                <wp:simplePos x="0" y="0"/>
                <wp:positionH relativeFrom="column">
                  <wp:posOffset>4854815</wp:posOffset>
                </wp:positionH>
                <wp:positionV relativeFrom="paragraph">
                  <wp:posOffset>-852181</wp:posOffset>
                </wp:positionV>
                <wp:extent cx="1771650" cy="1676400"/>
                <wp:effectExtent l="19050" t="19050" r="19050" b="19050"/>
                <wp:wrapNone/>
                <wp:docPr id="15122502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76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403EB" id="Oval 1" o:spid="_x0000_s1026" style="position:absolute;margin-left:382.25pt;margin-top:-67.1pt;width:139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" fillcolor="white [3212]" strokecolor="black [3213]" strokeweight="2.25pt">
                <v:stroke joinstyle="miter"/>
              </v:oval>
            </w:pict>
          </mc:Fallback>
        </mc:AlternateContent>
      </w:r>
      <w:r w:rsidRPr="004F04A3">
        <w:rPr>
          <w:rFonts w:ascii="Georgia" w:eastAsia="Times New Roman" w:hAnsi="Georgia" w:cs="Calibri"/>
        </w:rPr>
        <w:t>[Your Organization's Name]</w:t>
      </w:r>
    </w:p>
    <w:p w14:paraId="197890AF" w14:textId="487BC9A9" w:rsidR="003C6199" w:rsidRPr="004F04A3" w:rsidRDefault="004F04A3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  <w:t>Reserves</w:t>
      </w:r>
      <w:r w:rsidR="003C6199" w:rsidRPr="004F04A3"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  <w:t xml:space="preserve"> Policy</w:t>
      </w:r>
    </w:p>
    <w:p w14:paraId="35E31D6D" w14:textId="0DC5C702" w:rsidR="003C6199" w:rsidRPr="004F04A3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</w:p>
    <w:p w14:paraId="2FF22C53" w14:textId="77777777" w:rsidR="00E1044E" w:rsidRPr="00E1044E" w:rsidRDefault="00E1044E" w:rsidP="00E1044E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E1044E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Reserves Policy</w:t>
      </w:r>
    </w:p>
    <w:p w14:paraId="481E2231" w14:textId="77777777" w:rsidR="004F04A3" w:rsidRDefault="004F04A3" w:rsidP="00E1044E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78756211" w14:textId="4A40203C" w:rsidR="004F04A3" w:rsidRPr="004F04A3" w:rsidRDefault="00E1044E" w:rsidP="004F04A3">
      <w:pPr>
        <w:pStyle w:val="ListParagraph"/>
        <w:numPr>
          <w:ilvl w:val="0"/>
          <w:numId w:val="15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Purpose</w:t>
      </w:r>
    </w:p>
    <w:p w14:paraId="7480597B" w14:textId="34ECB8AC" w:rsidR="00E1044E" w:rsidRPr="004F04A3" w:rsidRDefault="00E1044E" w:rsidP="004F04A3">
      <w:pPr>
        <w:pStyle w:val="ListParagraph"/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The purpose of this policy is to establish guidelines for the accumulation, management, and use of reserves by [nonprofit name]. Reserves are funds that are set aside for specific purposes, such as:</w:t>
      </w:r>
    </w:p>
    <w:p w14:paraId="7AF5C3E2" w14:textId="77777777" w:rsidR="00E1044E" w:rsidRPr="004F04A3" w:rsidRDefault="00E1044E" w:rsidP="004F04A3">
      <w:pPr>
        <w:pStyle w:val="ListParagraph"/>
        <w:numPr>
          <w:ilvl w:val="0"/>
          <w:numId w:val="1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Ensuring the organization's financial stability</w:t>
      </w:r>
    </w:p>
    <w:p w14:paraId="4168AD36" w14:textId="77777777" w:rsidR="00E1044E" w:rsidRPr="004F04A3" w:rsidRDefault="00E1044E" w:rsidP="004F04A3">
      <w:pPr>
        <w:pStyle w:val="ListParagraph"/>
        <w:numPr>
          <w:ilvl w:val="0"/>
          <w:numId w:val="1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Meeting unexpected expenses</w:t>
      </w:r>
    </w:p>
    <w:p w14:paraId="67C9D10C" w14:textId="77777777" w:rsidR="00E1044E" w:rsidRDefault="00E1044E" w:rsidP="004F04A3">
      <w:pPr>
        <w:pStyle w:val="ListParagraph"/>
        <w:numPr>
          <w:ilvl w:val="0"/>
          <w:numId w:val="1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Funding future initiatives</w:t>
      </w:r>
    </w:p>
    <w:p w14:paraId="77A2D403" w14:textId="77777777" w:rsidR="004F04A3" w:rsidRPr="004F04A3" w:rsidRDefault="004F04A3" w:rsidP="004F04A3">
      <w:pPr>
        <w:pStyle w:val="ListParagraph"/>
        <w:spacing w:after="150" w:line="360" w:lineRule="atLeast"/>
        <w:ind w:left="1440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04BD16DC" w14:textId="6522B3A9" w:rsidR="004F04A3" w:rsidRPr="004F04A3" w:rsidRDefault="00E1044E" w:rsidP="004F04A3">
      <w:pPr>
        <w:pStyle w:val="ListParagraph"/>
        <w:numPr>
          <w:ilvl w:val="0"/>
          <w:numId w:val="15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Types of Reserves</w:t>
      </w:r>
    </w:p>
    <w:p w14:paraId="0C3C4A1E" w14:textId="01285E7A" w:rsidR="00E1044E" w:rsidRPr="004F04A3" w:rsidRDefault="00E1044E" w:rsidP="004F04A3">
      <w:pPr>
        <w:pStyle w:val="ListParagraph"/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[Nonprofit name] may establish the following types of reserves:</w:t>
      </w:r>
    </w:p>
    <w:p w14:paraId="7FF429BA" w14:textId="77777777" w:rsidR="00E1044E" w:rsidRPr="004F04A3" w:rsidRDefault="00E1044E" w:rsidP="004F04A3">
      <w:pPr>
        <w:pStyle w:val="ListParagraph"/>
        <w:numPr>
          <w:ilvl w:val="0"/>
          <w:numId w:val="17"/>
        </w:num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Operating reserves:</w:t>
      </w: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 These reserves are used to cover ongoing expenses, such as payroll, rent, and utilities.</w:t>
      </w:r>
    </w:p>
    <w:p w14:paraId="54F1B3B0" w14:textId="77777777" w:rsidR="00E1044E" w:rsidRPr="004F04A3" w:rsidRDefault="00E1044E" w:rsidP="004F04A3">
      <w:pPr>
        <w:pStyle w:val="ListParagraph"/>
        <w:numPr>
          <w:ilvl w:val="0"/>
          <w:numId w:val="17"/>
        </w:num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Program reserves:</w:t>
      </w: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 These reserves are used to support specific programs or services.</w:t>
      </w:r>
    </w:p>
    <w:p w14:paraId="57874F29" w14:textId="77777777" w:rsidR="00E1044E" w:rsidRPr="004F04A3" w:rsidRDefault="00E1044E" w:rsidP="004F04A3">
      <w:pPr>
        <w:pStyle w:val="ListParagraph"/>
        <w:numPr>
          <w:ilvl w:val="0"/>
          <w:numId w:val="17"/>
        </w:num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Capital reserves:</w:t>
      </w: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 These reserves are used to fund major capital expenditures, such as building renovations or equipment purchases.</w:t>
      </w:r>
    </w:p>
    <w:p w14:paraId="7CF4CB21" w14:textId="42FEBB42" w:rsidR="00E1044E" w:rsidRDefault="00E1044E" w:rsidP="004F04A3">
      <w:pPr>
        <w:pStyle w:val="ListParagraph"/>
        <w:numPr>
          <w:ilvl w:val="0"/>
          <w:numId w:val="17"/>
        </w:num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Endowment reserves:</w:t>
      </w: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 These reserves are </w:t>
      </w:r>
      <w:r w:rsidR="004F04A3"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invested,</w:t>
      </w: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 and the earnings are used to support the organization's mission.</w:t>
      </w:r>
    </w:p>
    <w:p w14:paraId="00FA0633" w14:textId="77777777" w:rsidR="004F04A3" w:rsidRPr="004F04A3" w:rsidRDefault="004F04A3" w:rsidP="004F04A3">
      <w:pPr>
        <w:pStyle w:val="ListParagraph"/>
        <w:spacing w:line="360" w:lineRule="atLeast"/>
        <w:ind w:left="1440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3125682D" w14:textId="031A5F11" w:rsidR="004F04A3" w:rsidRPr="004F04A3" w:rsidRDefault="00E1044E" w:rsidP="004F04A3">
      <w:pPr>
        <w:pStyle w:val="ListParagraph"/>
        <w:numPr>
          <w:ilvl w:val="0"/>
          <w:numId w:val="15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Reserve Levels</w:t>
      </w:r>
    </w:p>
    <w:p w14:paraId="67AE1E7E" w14:textId="3D5CEE0E" w:rsidR="00E1044E" w:rsidRPr="004F04A3" w:rsidRDefault="00E1044E" w:rsidP="004F04A3">
      <w:pPr>
        <w:pStyle w:val="ListParagraph"/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The target reserve levels for [nonprofit name] are as follows:</w:t>
      </w:r>
    </w:p>
    <w:p w14:paraId="1DD4A8E2" w14:textId="77777777" w:rsidR="00E1044E" w:rsidRPr="004F04A3" w:rsidRDefault="00E1044E" w:rsidP="004F04A3">
      <w:pPr>
        <w:pStyle w:val="ListParagraph"/>
        <w:numPr>
          <w:ilvl w:val="0"/>
          <w:numId w:val="18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Operating reserves: 3-6 months of expenses</w:t>
      </w:r>
    </w:p>
    <w:p w14:paraId="025FA92B" w14:textId="77777777" w:rsidR="00E1044E" w:rsidRPr="004F04A3" w:rsidRDefault="00E1044E" w:rsidP="004F04A3">
      <w:pPr>
        <w:pStyle w:val="ListParagraph"/>
        <w:numPr>
          <w:ilvl w:val="0"/>
          <w:numId w:val="18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Program reserves: 1-2 years of program expenses</w:t>
      </w:r>
    </w:p>
    <w:p w14:paraId="2AE9798A" w14:textId="77777777" w:rsidR="00E1044E" w:rsidRPr="004F04A3" w:rsidRDefault="00E1044E" w:rsidP="004F04A3">
      <w:pPr>
        <w:pStyle w:val="ListParagraph"/>
        <w:numPr>
          <w:ilvl w:val="0"/>
          <w:numId w:val="18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Capital reserves: 50% of the estimated cost of the next major capital </w:t>
      </w:r>
      <w:proofErr w:type="gramStart"/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project</w:t>
      </w:r>
      <w:proofErr w:type="gramEnd"/>
    </w:p>
    <w:p w14:paraId="59E86F56" w14:textId="77777777" w:rsidR="00E1044E" w:rsidRDefault="00E1044E" w:rsidP="004F04A3">
      <w:pPr>
        <w:pStyle w:val="ListParagraph"/>
        <w:numPr>
          <w:ilvl w:val="0"/>
          <w:numId w:val="18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Endowment reserves: As determined by the Board of Directors</w:t>
      </w:r>
    </w:p>
    <w:p w14:paraId="56036664" w14:textId="77777777" w:rsidR="004F04A3" w:rsidRPr="004F04A3" w:rsidRDefault="004F04A3" w:rsidP="004F04A3">
      <w:pPr>
        <w:pStyle w:val="ListParagraph"/>
        <w:spacing w:after="150" w:line="360" w:lineRule="atLeast"/>
        <w:ind w:left="1440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5D8D0FD5" w14:textId="07A5384C" w:rsidR="004F04A3" w:rsidRPr="004F04A3" w:rsidRDefault="00E1044E" w:rsidP="004F04A3">
      <w:pPr>
        <w:pStyle w:val="ListParagraph"/>
        <w:numPr>
          <w:ilvl w:val="0"/>
          <w:numId w:val="15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Funding Reserves</w:t>
      </w:r>
    </w:p>
    <w:p w14:paraId="49CCB193" w14:textId="3D9378C6" w:rsidR="00E1044E" w:rsidRPr="004F04A3" w:rsidRDefault="00E1044E" w:rsidP="004F04A3">
      <w:pPr>
        <w:pStyle w:val="ListParagraph"/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Reserves may be funded through a variety of sources, such as:</w:t>
      </w:r>
    </w:p>
    <w:p w14:paraId="4CC52BFE" w14:textId="77777777" w:rsidR="00E1044E" w:rsidRPr="004F04A3" w:rsidRDefault="00E1044E" w:rsidP="004F04A3">
      <w:pPr>
        <w:pStyle w:val="ListParagraph"/>
        <w:numPr>
          <w:ilvl w:val="0"/>
          <w:numId w:val="19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Operating surpluses</w:t>
      </w:r>
    </w:p>
    <w:p w14:paraId="43359613" w14:textId="77777777" w:rsidR="00E1044E" w:rsidRPr="004F04A3" w:rsidRDefault="00E1044E" w:rsidP="004F04A3">
      <w:pPr>
        <w:pStyle w:val="ListParagraph"/>
        <w:numPr>
          <w:ilvl w:val="0"/>
          <w:numId w:val="19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Donations</w:t>
      </w:r>
    </w:p>
    <w:p w14:paraId="79CB38D5" w14:textId="77777777" w:rsidR="00E1044E" w:rsidRPr="004F04A3" w:rsidRDefault="00E1044E" w:rsidP="004F04A3">
      <w:pPr>
        <w:pStyle w:val="ListParagraph"/>
        <w:numPr>
          <w:ilvl w:val="0"/>
          <w:numId w:val="19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Grants</w:t>
      </w:r>
    </w:p>
    <w:p w14:paraId="04502CBB" w14:textId="3A41B172" w:rsidR="00E1044E" w:rsidRDefault="00E1044E" w:rsidP="004F04A3">
      <w:pPr>
        <w:pStyle w:val="ListParagraph"/>
        <w:numPr>
          <w:ilvl w:val="0"/>
          <w:numId w:val="19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lastRenderedPageBreak/>
        <w:t xml:space="preserve">Investment </w:t>
      </w:r>
      <w:r w:rsidR="004F04A3">
        <w:rPr>
          <w:rFonts w:ascii="Georgia" w:eastAsia="Times New Roman" w:hAnsi="Georgia" w:cs="Times New Roman"/>
          <w:color w:val="1F1F1F"/>
          <w:kern w:val="0"/>
          <w14:ligatures w14:val="none"/>
        </w:rPr>
        <w:t>Income</w:t>
      </w:r>
    </w:p>
    <w:p w14:paraId="76179C2D" w14:textId="77777777" w:rsidR="004F04A3" w:rsidRPr="004F04A3" w:rsidRDefault="004F04A3" w:rsidP="004F04A3">
      <w:pPr>
        <w:pStyle w:val="ListParagraph"/>
        <w:spacing w:after="150" w:line="360" w:lineRule="atLeast"/>
        <w:ind w:left="1440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3BE4EA6B" w14:textId="5801D546" w:rsidR="004F04A3" w:rsidRPr="004F04A3" w:rsidRDefault="00E1044E" w:rsidP="004F04A3">
      <w:pPr>
        <w:pStyle w:val="ListParagraph"/>
        <w:numPr>
          <w:ilvl w:val="0"/>
          <w:numId w:val="15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Use of Reserves</w:t>
      </w:r>
    </w:p>
    <w:p w14:paraId="6E057535" w14:textId="30475717" w:rsidR="00E1044E" w:rsidRPr="004F04A3" w:rsidRDefault="00E1044E" w:rsidP="004F04A3">
      <w:pPr>
        <w:pStyle w:val="ListParagraph"/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Reserves may be used for the following purposes:</w:t>
      </w:r>
    </w:p>
    <w:p w14:paraId="626E67AA" w14:textId="77777777" w:rsidR="00E1044E" w:rsidRPr="004F04A3" w:rsidRDefault="00E1044E" w:rsidP="004F04A3">
      <w:pPr>
        <w:pStyle w:val="ListParagraph"/>
        <w:numPr>
          <w:ilvl w:val="0"/>
          <w:numId w:val="2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To cover unexpected expenses</w:t>
      </w:r>
    </w:p>
    <w:p w14:paraId="408BD6E0" w14:textId="77777777" w:rsidR="00E1044E" w:rsidRPr="004F04A3" w:rsidRDefault="00E1044E" w:rsidP="004F04A3">
      <w:pPr>
        <w:pStyle w:val="ListParagraph"/>
        <w:numPr>
          <w:ilvl w:val="0"/>
          <w:numId w:val="2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To fund program or service expansions</w:t>
      </w:r>
    </w:p>
    <w:p w14:paraId="4FBF1B5A" w14:textId="77777777" w:rsidR="00E1044E" w:rsidRPr="004F04A3" w:rsidRDefault="00E1044E" w:rsidP="004F04A3">
      <w:pPr>
        <w:pStyle w:val="ListParagraph"/>
        <w:numPr>
          <w:ilvl w:val="0"/>
          <w:numId w:val="2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To support the organization during periods of financial difficulty</w:t>
      </w:r>
    </w:p>
    <w:p w14:paraId="71892C93" w14:textId="77777777" w:rsidR="00E1044E" w:rsidRDefault="00E1044E" w:rsidP="004F04A3">
      <w:pPr>
        <w:pStyle w:val="ListParagraph"/>
        <w:numPr>
          <w:ilvl w:val="0"/>
          <w:numId w:val="2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To fund major capital expenditures</w:t>
      </w:r>
    </w:p>
    <w:p w14:paraId="53725FF0" w14:textId="77777777" w:rsidR="004F04A3" w:rsidRPr="004F04A3" w:rsidRDefault="004F04A3" w:rsidP="004F04A3">
      <w:pPr>
        <w:pStyle w:val="ListParagraph"/>
        <w:spacing w:after="150" w:line="360" w:lineRule="atLeast"/>
        <w:ind w:left="1440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674C42BD" w14:textId="73A94BA9" w:rsidR="004F04A3" w:rsidRPr="004F04A3" w:rsidRDefault="00E1044E" w:rsidP="004F04A3">
      <w:pPr>
        <w:pStyle w:val="ListParagraph"/>
        <w:numPr>
          <w:ilvl w:val="0"/>
          <w:numId w:val="15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Management of Reserves</w:t>
      </w:r>
    </w:p>
    <w:p w14:paraId="674B0C29" w14:textId="148256E5" w:rsidR="00E1044E" w:rsidRDefault="00E1044E" w:rsidP="004F04A3">
      <w:pPr>
        <w:pStyle w:val="ListParagraph"/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Reserves will be invested in accordance with the organization's investment policy. The Board of Directors will review the reserve levels on an annual basis and </w:t>
      </w:r>
      <w:proofErr w:type="gramStart"/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make adjustments</w:t>
      </w:r>
      <w:proofErr w:type="gramEnd"/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 as needed.</w:t>
      </w:r>
    </w:p>
    <w:p w14:paraId="79C62E1B" w14:textId="77777777" w:rsidR="004F04A3" w:rsidRPr="004F04A3" w:rsidRDefault="004F04A3" w:rsidP="004F04A3">
      <w:pPr>
        <w:pStyle w:val="ListParagraph"/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</w:p>
    <w:p w14:paraId="7F1A7324" w14:textId="34C02158" w:rsidR="004F04A3" w:rsidRPr="004F04A3" w:rsidRDefault="00E1044E" w:rsidP="004F04A3">
      <w:pPr>
        <w:pStyle w:val="ListParagraph"/>
        <w:numPr>
          <w:ilvl w:val="0"/>
          <w:numId w:val="15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Review and Revision</w:t>
      </w:r>
    </w:p>
    <w:p w14:paraId="3C15273B" w14:textId="70DA3B1B" w:rsidR="00E1044E" w:rsidRDefault="00E1044E" w:rsidP="004F04A3">
      <w:pPr>
        <w:pStyle w:val="ListParagraph"/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4F04A3">
        <w:rPr>
          <w:rFonts w:ascii="Georgia" w:eastAsia="Times New Roman" w:hAnsi="Georgia" w:cs="Times New Roman"/>
          <w:color w:val="1F1F1F"/>
          <w:kern w:val="0"/>
          <w14:ligatures w14:val="none"/>
        </w:rPr>
        <w:t>This policy will be reviewed and revised on an annual basis by the Board of Directors.</w:t>
      </w:r>
    </w:p>
    <w:p w14:paraId="1EE8C6FB" w14:textId="77777777" w:rsidR="004F04A3" w:rsidRPr="004F04A3" w:rsidRDefault="004F04A3" w:rsidP="004F04A3">
      <w:pPr>
        <w:pStyle w:val="ListParagraph"/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</w:p>
    <w:p w14:paraId="197EDDB4" w14:textId="77960E8C" w:rsidR="004F04A3" w:rsidRDefault="004F04A3" w:rsidP="004F04A3">
      <w:pPr>
        <w:pStyle w:val="ListParagraph"/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  <w:r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Effective Date</w:t>
      </w:r>
    </w:p>
    <w:p w14:paraId="658070B3" w14:textId="7935CED5" w:rsidR="00D33761" w:rsidRPr="004F04A3" w:rsidRDefault="004F04A3" w:rsidP="004F04A3">
      <w:pPr>
        <w:spacing w:line="360" w:lineRule="atLeast"/>
        <w:ind w:left="720"/>
        <w:rPr>
          <w:rFonts w:ascii="Georgia" w:hAnsi="Georgia"/>
        </w:rPr>
      </w:pPr>
      <w:r>
        <w:rPr>
          <w:rFonts w:ascii="Georgia" w:hAnsi="Georgia"/>
        </w:rPr>
        <w:t>Date Effective</w:t>
      </w:r>
    </w:p>
    <w:sectPr w:rsidR="00D33761" w:rsidRPr="004F04A3" w:rsidSect="004F04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BDC"/>
    <w:multiLevelType w:val="hybridMultilevel"/>
    <w:tmpl w:val="42F2C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871C1"/>
    <w:multiLevelType w:val="multilevel"/>
    <w:tmpl w:val="88D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90C1C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C1562"/>
    <w:multiLevelType w:val="hybridMultilevel"/>
    <w:tmpl w:val="E650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A62C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17AF3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E2431"/>
    <w:multiLevelType w:val="multilevel"/>
    <w:tmpl w:val="698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610F2"/>
    <w:multiLevelType w:val="hybridMultilevel"/>
    <w:tmpl w:val="93522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83995"/>
    <w:multiLevelType w:val="hybridMultilevel"/>
    <w:tmpl w:val="9A621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80F10"/>
    <w:multiLevelType w:val="hybridMultilevel"/>
    <w:tmpl w:val="0256E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DE455C"/>
    <w:multiLevelType w:val="hybridMultilevel"/>
    <w:tmpl w:val="C29A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B52C5"/>
    <w:multiLevelType w:val="multilevel"/>
    <w:tmpl w:val="475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70811"/>
    <w:multiLevelType w:val="hybridMultilevel"/>
    <w:tmpl w:val="5E22B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B15E1B"/>
    <w:multiLevelType w:val="hybridMultilevel"/>
    <w:tmpl w:val="F702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23BE8"/>
    <w:multiLevelType w:val="multilevel"/>
    <w:tmpl w:val="042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6449E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46CD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C28FE"/>
    <w:multiLevelType w:val="hybridMultilevel"/>
    <w:tmpl w:val="80AA8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887B5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6D40BE"/>
    <w:multiLevelType w:val="hybridMultilevel"/>
    <w:tmpl w:val="EE5E4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351750">
    <w:abstractNumId w:val="11"/>
  </w:num>
  <w:num w:numId="2" w16cid:durableId="626014137">
    <w:abstractNumId w:val="1"/>
  </w:num>
  <w:num w:numId="3" w16cid:durableId="1300840217">
    <w:abstractNumId w:val="16"/>
  </w:num>
  <w:num w:numId="4" w16cid:durableId="2105763972">
    <w:abstractNumId w:val="6"/>
  </w:num>
  <w:num w:numId="5" w16cid:durableId="1975595445">
    <w:abstractNumId w:val="14"/>
  </w:num>
  <w:num w:numId="6" w16cid:durableId="200092052">
    <w:abstractNumId w:val="12"/>
  </w:num>
  <w:num w:numId="7" w16cid:durableId="1448891635">
    <w:abstractNumId w:val="8"/>
  </w:num>
  <w:num w:numId="8" w16cid:durableId="1759399828">
    <w:abstractNumId w:val="7"/>
  </w:num>
  <w:num w:numId="9" w16cid:durableId="594439462">
    <w:abstractNumId w:val="3"/>
  </w:num>
  <w:num w:numId="10" w16cid:durableId="1192843786">
    <w:abstractNumId w:val="2"/>
  </w:num>
  <w:num w:numId="11" w16cid:durableId="147788769">
    <w:abstractNumId w:val="18"/>
  </w:num>
  <w:num w:numId="12" w16cid:durableId="635376658">
    <w:abstractNumId w:val="15"/>
  </w:num>
  <w:num w:numId="13" w16cid:durableId="444622017">
    <w:abstractNumId w:val="5"/>
  </w:num>
  <w:num w:numId="14" w16cid:durableId="1029991189">
    <w:abstractNumId w:val="4"/>
  </w:num>
  <w:num w:numId="15" w16cid:durableId="1219785951">
    <w:abstractNumId w:val="10"/>
  </w:num>
  <w:num w:numId="16" w16cid:durableId="710154474">
    <w:abstractNumId w:val="19"/>
  </w:num>
  <w:num w:numId="17" w16cid:durableId="1211262167">
    <w:abstractNumId w:val="13"/>
  </w:num>
  <w:num w:numId="18" w16cid:durableId="742029624">
    <w:abstractNumId w:val="9"/>
  </w:num>
  <w:num w:numId="19" w16cid:durableId="56246178">
    <w:abstractNumId w:val="17"/>
  </w:num>
  <w:num w:numId="20" w16cid:durableId="31018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9"/>
    <w:rsid w:val="0033730D"/>
    <w:rsid w:val="003C6199"/>
    <w:rsid w:val="004F04A3"/>
    <w:rsid w:val="00726BD4"/>
    <w:rsid w:val="00B90169"/>
    <w:rsid w:val="00D33761"/>
    <w:rsid w:val="00D6768A"/>
    <w:rsid w:val="00E1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9931"/>
  <w15:chartTrackingRefBased/>
  <w15:docId w15:val="{B0D82967-24D9-394E-A5C8-6303DDE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1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6199"/>
    <w:rPr>
      <w:b/>
      <w:bCs/>
    </w:rPr>
  </w:style>
  <w:style w:type="paragraph" w:styleId="ListParagraph">
    <w:name w:val="List Paragraph"/>
    <w:basedOn w:val="Normal"/>
    <w:uiPriority w:val="34"/>
    <w:qFormat/>
    <w:rsid w:val="003C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kirton</dc:creator>
  <cp:keywords/>
  <dc:description/>
  <cp:lastModifiedBy>melanie kirton</cp:lastModifiedBy>
  <cp:revision>3</cp:revision>
  <dcterms:created xsi:type="dcterms:W3CDTF">2023-10-20T17:01:00Z</dcterms:created>
  <dcterms:modified xsi:type="dcterms:W3CDTF">2023-10-20T17:05:00Z</dcterms:modified>
</cp:coreProperties>
</file>